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90" w:rsidRDefault="00BD2790" w:rsidP="00BD2790">
      <w:pPr>
        <w:pStyle w:val="Title"/>
      </w:pPr>
      <w:bookmarkStart w:id="0" w:name="_GoBack"/>
      <w:bookmarkEnd w:id="0"/>
      <w:r>
        <w:t xml:space="preserve">GPS/Geocaching Lesson Plan </w:t>
      </w:r>
    </w:p>
    <w:p w:rsidR="00BD2790" w:rsidRDefault="00BD2790" w:rsidP="00BD27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20"/>
        <w:gridCol w:w="1260"/>
        <w:gridCol w:w="3240"/>
        <w:gridCol w:w="1800"/>
        <w:gridCol w:w="3708"/>
      </w:tblGrid>
      <w:tr w:rsidR="00BD2790" w:rsidTr="00DD7619">
        <w:trPr>
          <w:cantSplit/>
        </w:trPr>
        <w:tc>
          <w:tcPr>
            <w:tcW w:w="1440" w:type="dxa"/>
            <w:tcBorders>
              <w:top w:val="nil"/>
              <w:left w:val="nil"/>
              <w:bottom w:val="nil"/>
              <w:right w:val="nil"/>
            </w:tcBorders>
          </w:tcPr>
          <w:p w:rsidR="00BD2790" w:rsidRDefault="00BD2790" w:rsidP="00DD7619">
            <w:pPr>
              <w:pStyle w:val="Heading1"/>
            </w:pPr>
            <w:r>
              <w:t>Grade Level:</w:t>
            </w:r>
          </w:p>
        </w:tc>
        <w:tc>
          <w:tcPr>
            <w:tcW w:w="1620" w:type="dxa"/>
            <w:tcBorders>
              <w:top w:val="nil"/>
              <w:left w:val="nil"/>
              <w:bottom w:val="single" w:sz="4" w:space="0" w:color="auto"/>
              <w:right w:val="nil"/>
            </w:tcBorders>
          </w:tcPr>
          <w:p w:rsidR="00BD2790" w:rsidRPr="00BD2790" w:rsidRDefault="00BD2790" w:rsidP="00DD7619">
            <w:pPr>
              <w:rPr>
                <w:b/>
                <w:bCs/>
                <w:color w:val="FF0000"/>
              </w:rPr>
            </w:pPr>
            <w:r w:rsidRPr="00BD2790">
              <w:rPr>
                <w:b/>
                <w:bCs/>
                <w:color w:val="FF0000"/>
              </w:rPr>
              <w:t>5</w:t>
            </w:r>
          </w:p>
        </w:tc>
        <w:tc>
          <w:tcPr>
            <w:tcW w:w="1260" w:type="dxa"/>
            <w:tcBorders>
              <w:top w:val="nil"/>
              <w:left w:val="nil"/>
              <w:bottom w:val="nil"/>
              <w:right w:val="nil"/>
            </w:tcBorders>
          </w:tcPr>
          <w:p w:rsidR="00BD2790" w:rsidRDefault="00BD2790" w:rsidP="00DD7619">
            <w:pPr>
              <w:pStyle w:val="Heading1"/>
              <w:jc w:val="right"/>
            </w:pPr>
            <w:r>
              <w:t>Subject:</w:t>
            </w:r>
          </w:p>
        </w:tc>
        <w:tc>
          <w:tcPr>
            <w:tcW w:w="3240" w:type="dxa"/>
            <w:tcBorders>
              <w:top w:val="nil"/>
              <w:left w:val="nil"/>
              <w:bottom w:val="single" w:sz="4" w:space="0" w:color="auto"/>
              <w:right w:val="nil"/>
            </w:tcBorders>
          </w:tcPr>
          <w:p w:rsidR="00BD2790" w:rsidRPr="00BD2790" w:rsidRDefault="00BD2790" w:rsidP="00DD7619">
            <w:pPr>
              <w:pStyle w:val="Heading1"/>
              <w:rPr>
                <w:color w:val="FF0000"/>
              </w:rPr>
            </w:pPr>
            <w:r w:rsidRPr="00BD2790">
              <w:rPr>
                <w:color w:val="FF0000"/>
              </w:rPr>
              <w:t>Math</w:t>
            </w:r>
          </w:p>
        </w:tc>
        <w:tc>
          <w:tcPr>
            <w:tcW w:w="1800" w:type="dxa"/>
            <w:tcBorders>
              <w:top w:val="nil"/>
              <w:left w:val="nil"/>
              <w:bottom w:val="nil"/>
              <w:right w:val="nil"/>
            </w:tcBorders>
          </w:tcPr>
          <w:p w:rsidR="00BD2790" w:rsidRDefault="00BD2790" w:rsidP="00DD7619">
            <w:pPr>
              <w:pStyle w:val="Heading1"/>
              <w:jc w:val="right"/>
            </w:pPr>
            <w:r>
              <w:t>Prepared By:</w:t>
            </w:r>
          </w:p>
        </w:tc>
        <w:tc>
          <w:tcPr>
            <w:tcW w:w="3708" w:type="dxa"/>
            <w:tcBorders>
              <w:top w:val="nil"/>
              <w:left w:val="nil"/>
              <w:bottom w:val="single" w:sz="4" w:space="0" w:color="auto"/>
              <w:right w:val="nil"/>
            </w:tcBorders>
          </w:tcPr>
          <w:p w:rsidR="00BD2790" w:rsidRPr="00BD2790" w:rsidRDefault="00BD2790" w:rsidP="00DD7619">
            <w:pPr>
              <w:rPr>
                <w:b/>
                <w:bCs/>
                <w:color w:val="FF0000"/>
              </w:rPr>
            </w:pPr>
            <w:r w:rsidRPr="00BD2790">
              <w:rPr>
                <w:b/>
                <w:bCs/>
                <w:color w:val="FF0000"/>
              </w:rPr>
              <w:t>Christi Horner</w:t>
            </w:r>
          </w:p>
        </w:tc>
      </w:tr>
    </w:tbl>
    <w:p w:rsidR="00BD2790" w:rsidRDefault="00BD2790" w:rsidP="00BD2790">
      <w:pPr>
        <w:pStyle w:val="BodyText"/>
      </w:pPr>
    </w:p>
    <w:p w:rsidR="00BD2790" w:rsidRDefault="00BD2790" w:rsidP="00BD2790">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4"/>
        <w:gridCol w:w="5193"/>
      </w:tblGrid>
      <w:tr w:rsidR="00BD2790" w:rsidTr="00DD7619">
        <w:trPr>
          <w:cantSplit/>
          <w:trHeight w:val="832"/>
        </w:trPr>
        <w:tc>
          <w:tcPr>
            <w:tcW w:w="7864" w:type="dxa"/>
            <w:tcBorders>
              <w:bottom w:val="single" w:sz="4" w:space="0" w:color="auto"/>
            </w:tcBorders>
            <w:tcMar>
              <w:top w:w="58" w:type="dxa"/>
              <w:left w:w="115" w:type="dxa"/>
              <w:bottom w:w="58" w:type="dxa"/>
              <w:right w:w="115" w:type="dxa"/>
            </w:tcMar>
          </w:tcPr>
          <w:p w:rsidR="00BD2790" w:rsidRDefault="00BD2790" w:rsidP="00DD7619">
            <w:pPr>
              <w:pStyle w:val="Heading1"/>
            </w:pPr>
            <w:r>
              <w:t>Overview &amp; Purpose</w:t>
            </w:r>
          </w:p>
          <w:p w:rsidR="00BD2790" w:rsidRPr="00BD2790" w:rsidRDefault="00BD2790" w:rsidP="00DD7619">
            <w:pPr>
              <w:rPr>
                <w:color w:val="FF0000"/>
              </w:rPr>
            </w:pPr>
            <w:r>
              <w:t xml:space="preserve"> </w:t>
            </w:r>
            <w:r>
              <w:rPr>
                <w:color w:val="FF0000"/>
              </w:rPr>
              <w:t>Students will use the GPS units to locate Math vocabulary words that correlate to the skills students have practiced.  Purpose of this activity: to check mastery of math terminology.</w:t>
            </w:r>
          </w:p>
        </w:tc>
        <w:tc>
          <w:tcPr>
            <w:tcW w:w="5193" w:type="dxa"/>
            <w:tcBorders>
              <w:bottom w:val="single" w:sz="4" w:space="0" w:color="auto"/>
            </w:tcBorders>
            <w:tcMar>
              <w:top w:w="58" w:type="dxa"/>
              <w:left w:w="115" w:type="dxa"/>
              <w:bottom w:w="58" w:type="dxa"/>
              <w:right w:w="115" w:type="dxa"/>
            </w:tcMar>
          </w:tcPr>
          <w:p w:rsidR="00BD2790" w:rsidRDefault="00BD2790" w:rsidP="00DD7619">
            <w:pPr>
              <w:pStyle w:val="Heading1"/>
            </w:pPr>
            <w:r>
              <w:t>Education Standards Addressed</w:t>
            </w:r>
          </w:p>
          <w:p w:rsidR="00BD2790" w:rsidRPr="00BD2790" w:rsidRDefault="00BD2790" w:rsidP="00DD7619">
            <w:pPr>
              <w:pStyle w:val="BodyText"/>
              <w:rPr>
                <w:color w:val="FF0000"/>
              </w:rPr>
            </w:pPr>
            <w:r>
              <w:rPr>
                <w:color w:val="FF0000"/>
              </w:rPr>
              <w:t>Vocabulary covered will align with the Number Sense, Measurement, and Geometry standards, PASS Standards 2, 3, and 4</w:t>
            </w:r>
          </w:p>
          <w:p w:rsidR="00BD2790" w:rsidRDefault="00BD2790" w:rsidP="00DD7619"/>
        </w:tc>
      </w:tr>
    </w:tbl>
    <w:p w:rsidR="00BD2790" w:rsidRDefault="00BD2790" w:rsidP="00BD2790">
      <w:pPr>
        <w:pStyle w:val="BodyText"/>
      </w:pPr>
    </w:p>
    <w:p w:rsidR="00BD2790" w:rsidRDefault="00BD2790" w:rsidP="00BD2790">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7262"/>
        <w:gridCol w:w="2970"/>
      </w:tblGrid>
      <w:tr w:rsidR="00BD2790" w:rsidTr="00DD7619">
        <w:trPr>
          <w:cantSplit/>
          <w:trHeight w:val="242"/>
        </w:trPr>
        <w:tc>
          <w:tcPr>
            <w:tcW w:w="2825" w:type="dxa"/>
            <w:tcMar>
              <w:top w:w="58" w:type="dxa"/>
              <w:left w:w="115" w:type="dxa"/>
              <w:bottom w:w="58" w:type="dxa"/>
              <w:right w:w="115" w:type="dxa"/>
            </w:tcMar>
          </w:tcPr>
          <w:p w:rsidR="00BD2790" w:rsidRDefault="00BD2790" w:rsidP="00DD7619">
            <w:pPr>
              <w:rPr>
                <w:b/>
                <w:bCs/>
              </w:rPr>
            </w:pPr>
          </w:p>
        </w:tc>
        <w:tc>
          <w:tcPr>
            <w:tcW w:w="7262" w:type="dxa"/>
            <w:tcMar>
              <w:top w:w="58" w:type="dxa"/>
              <w:left w:w="115" w:type="dxa"/>
              <w:bottom w:w="58" w:type="dxa"/>
              <w:right w:w="115" w:type="dxa"/>
            </w:tcMar>
          </w:tcPr>
          <w:p w:rsidR="00BD2790" w:rsidRDefault="00BD2790" w:rsidP="00DD7619"/>
        </w:tc>
        <w:tc>
          <w:tcPr>
            <w:tcW w:w="2970" w:type="dxa"/>
            <w:tcMar>
              <w:top w:w="58" w:type="dxa"/>
              <w:left w:w="115" w:type="dxa"/>
              <w:bottom w:w="58" w:type="dxa"/>
              <w:right w:w="115" w:type="dxa"/>
            </w:tcMar>
          </w:tcPr>
          <w:p w:rsidR="00BD2790" w:rsidRDefault="00BD2790" w:rsidP="00DD7619">
            <w:pPr>
              <w:rPr>
                <w:b/>
                <w:bCs/>
              </w:rPr>
            </w:pPr>
          </w:p>
        </w:tc>
      </w:tr>
      <w:tr w:rsidR="00BD2790" w:rsidTr="00DD7619">
        <w:trPr>
          <w:cantSplit/>
          <w:trHeight w:val="1080"/>
        </w:trPr>
        <w:tc>
          <w:tcPr>
            <w:tcW w:w="2825" w:type="dxa"/>
            <w:tcMar>
              <w:top w:w="58" w:type="dxa"/>
              <w:left w:w="115" w:type="dxa"/>
              <w:bottom w:w="58" w:type="dxa"/>
              <w:right w:w="115" w:type="dxa"/>
            </w:tcMar>
          </w:tcPr>
          <w:p w:rsidR="00BD2790" w:rsidRDefault="00BD2790" w:rsidP="00DD7619">
            <w:pPr>
              <w:pStyle w:val="Heading1"/>
            </w:pPr>
            <w:r>
              <w:t>Objectives</w:t>
            </w:r>
          </w:p>
          <w:p w:rsidR="00BD2790" w:rsidRDefault="00BD2790" w:rsidP="00DD7619">
            <w:pPr>
              <w:pStyle w:val="BodyText"/>
            </w:pPr>
            <w:r>
              <w:t>(Specify skills/information that will be learned.)</w:t>
            </w:r>
          </w:p>
        </w:tc>
        <w:tc>
          <w:tcPr>
            <w:tcW w:w="7262" w:type="dxa"/>
            <w:tcMar>
              <w:top w:w="58" w:type="dxa"/>
              <w:left w:w="115" w:type="dxa"/>
              <w:bottom w:w="58" w:type="dxa"/>
              <w:right w:w="115" w:type="dxa"/>
            </w:tcMar>
          </w:tcPr>
          <w:p w:rsidR="00BD2790" w:rsidRPr="001662A2" w:rsidRDefault="00BD2790" w:rsidP="00BD2790">
            <w:pPr>
              <w:rPr>
                <w:color w:val="FF0000"/>
              </w:rPr>
            </w:pPr>
            <w:r w:rsidRPr="001662A2">
              <w:rPr>
                <w:color w:val="FF0000"/>
              </w:rPr>
              <w:t>Area and Perimeter, Circumference (and parts of a circle), Solid Shapes (area, base, net</w:t>
            </w:r>
            <w:proofErr w:type="gramStart"/>
            <w:r w:rsidRPr="001662A2">
              <w:rPr>
                <w:color w:val="FF0000"/>
              </w:rPr>
              <w:t>)  Students</w:t>
            </w:r>
            <w:proofErr w:type="gramEnd"/>
            <w:r w:rsidRPr="001662A2">
              <w:rPr>
                <w:color w:val="FF0000"/>
              </w:rPr>
              <w:t xml:space="preserve"> will use their previous knowledge of these topics to correctly match the definition to the vocabulary term.</w:t>
            </w:r>
          </w:p>
        </w:tc>
        <w:tc>
          <w:tcPr>
            <w:tcW w:w="2970" w:type="dxa"/>
            <w:vMerge w:val="restart"/>
            <w:tcMar>
              <w:top w:w="58" w:type="dxa"/>
              <w:left w:w="115" w:type="dxa"/>
              <w:bottom w:w="58" w:type="dxa"/>
              <w:right w:w="115" w:type="dxa"/>
            </w:tcMar>
          </w:tcPr>
          <w:p w:rsidR="00BD2790" w:rsidRDefault="00BD2790" w:rsidP="00DD7619">
            <w:pPr>
              <w:pStyle w:val="Heading1"/>
            </w:pPr>
            <w:r>
              <w:t>Materials Needed</w:t>
            </w:r>
          </w:p>
          <w:p w:rsidR="00BD2790" w:rsidRPr="001662A2" w:rsidRDefault="001662A2" w:rsidP="00DD7619">
            <w:pPr>
              <w:ind w:left="360"/>
              <w:rPr>
                <w:color w:val="FF0000"/>
              </w:rPr>
            </w:pPr>
            <w:r w:rsidRPr="001662A2">
              <w:rPr>
                <w:color w:val="FF0000"/>
              </w:rPr>
              <w:t>GPS Units</w:t>
            </w:r>
          </w:p>
          <w:p w:rsidR="001662A2" w:rsidRPr="001662A2" w:rsidRDefault="001662A2" w:rsidP="00DD7619">
            <w:pPr>
              <w:ind w:left="360"/>
              <w:rPr>
                <w:color w:val="FF0000"/>
              </w:rPr>
            </w:pPr>
            <w:r w:rsidRPr="001662A2">
              <w:rPr>
                <w:color w:val="FF0000"/>
              </w:rPr>
              <w:t>Pencil</w:t>
            </w:r>
          </w:p>
          <w:p w:rsidR="001662A2" w:rsidRPr="001662A2" w:rsidRDefault="001662A2" w:rsidP="00DD7619">
            <w:pPr>
              <w:ind w:left="360"/>
              <w:rPr>
                <w:color w:val="FF0000"/>
              </w:rPr>
            </w:pPr>
            <w:r w:rsidRPr="001662A2">
              <w:rPr>
                <w:color w:val="FF0000"/>
              </w:rPr>
              <w:t>Recording Sheet</w:t>
            </w:r>
          </w:p>
          <w:p w:rsidR="001662A2" w:rsidRPr="001662A2" w:rsidRDefault="001662A2" w:rsidP="00DD7619">
            <w:pPr>
              <w:ind w:left="360"/>
              <w:rPr>
                <w:color w:val="FF0000"/>
              </w:rPr>
            </w:pPr>
            <w:r w:rsidRPr="001662A2">
              <w:rPr>
                <w:color w:val="FF0000"/>
              </w:rPr>
              <w:t>Pre-placed caches</w:t>
            </w:r>
          </w:p>
          <w:p w:rsidR="001662A2" w:rsidRDefault="001662A2" w:rsidP="00DD7619">
            <w:pPr>
              <w:ind w:left="360"/>
            </w:pPr>
            <w:r w:rsidRPr="001662A2">
              <w:rPr>
                <w:color w:val="FF0000"/>
              </w:rPr>
              <w:t>Clip boards</w:t>
            </w:r>
          </w:p>
        </w:tc>
      </w:tr>
      <w:tr w:rsidR="00BD2790" w:rsidTr="00DD7619">
        <w:trPr>
          <w:cantSplit/>
          <w:trHeight w:val="1080"/>
        </w:trPr>
        <w:tc>
          <w:tcPr>
            <w:tcW w:w="2825" w:type="dxa"/>
            <w:tcMar>
              <w:top w:w="58" w:type="dxa"/>
              <w:left w:w="115" w:type="dxa"/>
              <w:bottom w:w="58" w:type="dxa"/>
              <w:right w:w="115" w:type="dxa"/>
            </w:tcMar>
          </w:tcPr>
          <w:p w:rsidR="00BD2790" w:rsidRDefault="00BD2790" w:rsidP="00DD7619">
            <w:pPr>
              <w:pStyle w:val="Heading1"/>
            </w:pPr>
            <w:r>
              <w:t>Information</w:t>
            </w:r>
          </w:p>
          <w:p w:rsidR="00BD2790" w:rsidRDefault="00BD2790" w:rsidP="00DD7619">
            <w:pPr>
              <w:pStyle w:val="BodyText"/>
            </w:pPr>
            <w:r>
              <w:t>(Give and/or demonstrate necessary information)</w:t>
            </w:r>
          </w:p>
          <w:p w:rsidR="00BD2790" w:rsidRDefault="00BD2790" w:rsidP="00DD7619"/>
        </w:tc>
        <w:tc>
          <w:tcPr>
            <w:tcW w:w="7262" w:type="dxa"/>
            <w:tcMar>
              <w:top w:w="58" w:type="dxa"/>
              <w:left w:w="115" w:type="dxa"/>
              <w:bottom w:w="58" w:type="dxa"/>
              <w:right w:w="115" w:type="dxa"/>
            </w:tcMar>
          </w:tcPr>
          <w:p w:rsidR="00BD2790" w:rsidRPr="001662A2" w:rsidRDefault="00BD2790" w:rsidP="001662A2">
            <w:pPr>
              <w:rPr>
                <w:color w:val="FF0000"/>
              </w:rPr>
            </w:pPr>
            <w:r w:rsidRPr="001662A2">
              <w:rPr>
                <w:color w:val="FF0000"/>
              </w:rPr>
              <w:t xml:space="preserve">5 vocabulary words will be placed as </w:t>
            </w:r>
            <w:proofErr w:type="gramStart"/>
            <w:r w:rsidRPr="001662A2">
              <w:rPr>
                <w:color w:val="FF0000"/>
              </w:rPr>
              <w:t>caches,</w:t>
            </w:r>
            <w:proofErr w:type="gramEnd"/>
            <w:r w:rsidRPr="001662A2">
              <w:rPr>
                <w:color w:val="FF0000"/>
              </w:rPr>
              <w:t xml:space="preserve"> students will use predetermined waypoints to find words and record </w:t>
            </w:r>
            <w:r w:rsidR="001662A2" w:rsidRPr="001662A2">
              <w:rPr>
                <w:color w:val="FF0000"/>
              </w:rPr>
              <w:t xml:space="preserve">findings </w:t>
            </w:r>
            <w:r w:rsidRPr="001662A2">
              <w:rPr>
                <w:color w:val="FF0000"/>
              </w:rPr>
              <w:t>on their recording sheet</w:t>
            </w:r>
            <w:r w:rsidR="001662A2" w:rsidRPr="001662A2">
              <w:rPr>
                <w:color w:val="FF0000"/>
              </w:rPr>
              <w:t xml:space="preserve">.  </w:t>
            </w:r>
          </w:p>
        </w:tc>
        <w:tc>
          <w:tcPr>
            <w:tcW w:w="2970" w:type="dxa"/>
            <w:vMerge/>
            <w:tcMar>
              <w:top w:w="58" w:type="dxa"/>
              <w:left w:w="115" w:type="dxa"/>
              <w:bottom w:w="58" w:type="dxa"/>
              <w:right w:w="115" w:type="dxa"/>
            </w:tcMar>
          </w:tcPr>
          <w:p w:rsidR="00BD2790" w:rsidRDefault="00BD2790" w:rsidP="00DD7619"/>
        </w:tc>
      </w:tr>
      <w:tr w:rsidR="00BD2790" w:rsidTr="00DD7619">
        <w:trPr>
          <w:cantSplit/>
          <w:trHeight w:val="1080"/>
        </w:trPr>
        <w:tc>
          <w:tcPr>
            <w:tcW w:w="2825" w:type="dxa"/>
            <w:tcMar>
              <w:top w:w="58" w:type="dxa"/>
              <w:left w:w="115" w:type="dxa"/>
              <w:bottom w:w="58" w:type="dxa"/>
              <w:right w:w="115" w:type="dxa"/>
            </w:tcMar>
          </w:tcPr>
          <w:p w:rsidR="00BD2790" w:rsidRDefault="00BD2790" w:rsidP="00DD7619">
            <w:pPr>
              <w:pStyle w:val="Heading1"/>
            </w:pPr>
            <w:r>
              <w:t>Verification</w:t>
            </w:r>
          </w:p>
          <w:p w:rsidR="00BD2790" w:rsidRDefault="00BD2790" w:rsidP="00DD7619">
            <w:pPr>
              <w:pStyle w:val="BodyText"/>
            </w:pPr>
            <w:r>
              <w:t>(Steps to check for student understanding)</w:t>
            </w:r>
          </w:p>
          <w:p w:rsidR="00BD2790" w:rsidRDefault="00BD2790" w:rsidP="00DD7619"/>
        </w:tc>
        <w:tc>
          <w:tcPr>
            <w:tcW w:w="7262" w:type="dxa"/>
            <w:tcMar>
              <w:top w:w="58" w:type="dxa"/>
              <w:left w:w="115" w:type="dxa"/>
              <w:bottom w:w="58" w:type="dxa"/>
              <w:right w:w="115" w:type="dxa"/>
            </w:tcMar>
          </w:tcPr>
          <w:p w:rsidR="00BD2790" w:rsidRPr="001662A2" w:rsidRDefault="001662A2" w:rsidP="00DD7619">
            <w:pPr>
              <w:rPr>
                <w:color w:val="FF0000"/>
              </w:rPr>
            </w:pPr>
            <w:r w:rsidRPr="001662A2">
              <w:rPr>
                <w:color w:val="FF0000"/>
              </w:rPr>
              <w:t>Students will check off with me to make sure they have identified all 5 caches and that they have the correct spellings of each term.</w:t>
            </w:r>
          </w:p>
        </w:tc>
        <w:tc>
          <w:tcPr>
            <w:tcW w:w="2970" w:type="dxa"/>
            <w:vMerge w:val="restart"/>
            <w:tcMar>
              <w:top w:w="58" w:type="dxa"/>
              <w:left w:w="115" w:type="dxa"/>
              <w:bottom w:w="58" w:type="dxa"/>
              <w:right w:w="115" w:type="dxa"/>
            </w:tcMar>
          </w:tcPr>
          <w:p w:rsidR="00BD2790" w:rsidRDefault="00BD2790" w:rsidP="00DD7619">
            <w:pPr>
              <w:pStyle w:val="Heading1"/>
            </w:pPr>
            <w:r>
              <w:t>Other Resources</w:t>
            </w:r>
          </w:p>
          <w:p w:rsidR="00BD2790" w:rsidRDefault="00BD2790" w:rsidP="00DD7619">
            <w:pPr>
              <w:pStyle w:val="BodyText"/>
            </w:pPr>
            <w:r>
              <w:t>(</w:t>
            </w:r>
            <w:proofErr w:type="gramStart"/>
            <w:r>
              <w:t>e.g</w:t>
            </w:r>
            <w:proofErr w:type="gramEnd"/>
            <w:r>
              <w:t>. Web, books, etc.)</w:t>
            </w:r>
          </w:p>
          <w:p w:rsidR="00BD2790" w:rsidRDefault="00BD2790" w:rsidP="00DD7619"/>
          <w:p w:rsidR="001662A2" w:rsidRPr="001662A2" w:rsidRDefault="001662A2" w:rsidP="00DD7619">
            <w:pPr>
              <w:rPr>
                <w:color w:val="FF0000"/>
              </w:rPr>
            </w:pPr>
            <w:r w:rsidRPr="001662A2">
              <w:rPr>
                <w:color w:val="FF0000"/>
              </w:rPr>
              <w:t>Math book if needed</w:t>
            </w:r>
          </w:p>
        </w:tc>
      </w:tr>
      <w:tr w:rsidR="00BD2790" w:rsidTr="00DD7619">
        <w:trPr>
          <w:cantSplit/>
          <w:trHeight w:val="1080"/>
        </w:trPr>
        <w:tc>
          <w:tcPr>
            <w:tcW w:w="2825" w:type="dxa"/>
            <w:tcMar>
              <w:top w:w="58" w:type="dxa"/>
              <w:left w:w="115" w:type="dxa"/>
              <w:bottom w:w="58" w:type="dxa"/>
              <w:right w:w="115" w:type="dxa"/>
            </w:tcMar>
          </w:tcPr>
          <w:p w:rsidR="00BD2790" w:rsidRDefault="00BD2790" w:rsidP="00DD7619">
            <w:pPr>
              <w:pStyle w:val="Heading1"/>
            </w:pPr>
            <w:r>
              <w:t>Activity</w:t>
            </w:r>
          </w:p>
          <w:p w:rsidR="00BD2790" w:rsidRDefault="00BD2790" w:rsidP="00DD7619">
            <w:pPr>
              <w:pStyle w:val="BodyText"/>
            </w:pPr>
            <w:r>
              <w:t>(Describe the independent activity to reinforce this lesson)</w:t>
            </w:r>
          </w:p>
          <w:p w:rsidR="00BD2790" w:rsidRDefault="00BD2790" w:rsidP="00DD7619"/>
          <w:p w:rsidR="00BD2790" w:rsidRDefault="00BD2790" w:rsidP="00DD7619"/>
        </w:tc>
        <w:tc>
          <w:tcPr>
            <w:tcW w:w="7262" w:type="dxa"/>
            <w:tcMar>
              <w:top w:w="58" w:type="dxa"/>
              <w:left w:w="115" w:type="dxa"/>
              <w:bottom w:w="58" w:type="dxa"/>
              <w:right w:w="115" w:type="dxa"/>
            </w:tcMar>
          </w:tcPr>
          <w:p w:rsidR="00BD2790" w:rsidRPr="001662A2" w:rsidRDefault="001662A2" w:rsidP="00DD7619">
            <w:pPr>
              <w:rPr>
                <w:color w:val="FF0000"/>
              </w:rPr>
            </w:pPr>
            <w:r w:rsidRPr="001662A2">
              <w:rPr>
                <w:color w:val="FF0000"/>
              </w:rPr>
              <w:t>Upon returning to the school, students will be given a vocabulary practice worksheet, where they have to use their word bank (5 from cache and 4 additional words) to correctly match each definition, completion of the definitions will reveal a hidden definition (which students will only be able to uncover if they have used each term in the corresponding question)</w:t>
            </w:r>
          </w:p>
        </w:tc>
        <w:tc>
          <w:tcPr>
            <w:tcW w:w="2970" w:type="dxa"/>
            <w:vMerge/>
            <w:tcMar>
              <w:top w:w="58" w:type="dxa"/>
              <w:left w:w="115" w:type="dxa"/>
              <w:bottom w:w="58" w:type="dxa"/>
              <w:right w:w="115" w:type="dxa"/>
            </w:tcMar>
          </w:tcPr>
          <w:p w:rsidR="00BD2790" w:rsidRDefault="00BD2790" w:rsidP="00DD7619"/>
        </w:tc>
      </w:tr>
      <w:tr w:rsidR="00BD2790" w:rsidTr="00DD7619">
        <w:trPr>
          <w:cantSplit/>
          <w:trHeight w:val="1080"/>
        </w:trPr>
        <w:tc>
          <w:tcPr>
            <w:tcW w:w="2825" w:type="dxa"/>
            <w:tcMar>
              <w:top w:w="58" w:type="dxa"/>
              <w:left w:w="115" w:type="dxa"/>
              <w:bottom w:w="58" w:type="dxa"/>
              <w:right w:w="115" w:type="dxa"/>
            </w:tcMar>
          </w:tcPr>
          <w:p w:rsidR="00BD2790" w:rsidRDefault="00BD2790" w:rsidP="00DD7619">
            <w:pPr>
              <w:pStyle w:val="Heading1"/>
            </w:pPr>
            <w:r>
              <w:t>Summary</w:t>
            </w:r>
          </w:p>
          <w:p w:rsidR="00BD2790" w:rsidRDefault="00BD2790" w:rsidP="00DD7619">
            <w:pPr>
              <w:pStyle w:val="BodyText"/>
            </w:pPr>
          </w:p>
        </w:tc>
        <w:tc>
          <w:tcPr>
            <w:tcW w:w="7262" w:type="dxa"/>
            <w:tcMar>
              <w:top w:w="58" w:type="dxa"/>
              <w:left w:w="115" w:type="dxa"/>
              <w:bottom w:w="58" w:type="dxa"/>
              <w:right w:w="115" w:type="dxa"/>
            </w:tcMar>
          </w:tcPr>
          <w:p w:rsidR="00BD2790" w:rsidRPr="001662A2" w:rsidRDefault="001662A2" w:rsidP="001662A2">
            <w:pPr>
              <w:rPr>
                <w:color w:val="FF0000"/>
              </w:rPr>
            </w:pPr>
            <w:r w:rsidRPr="001662A2">
              <w:rPr>
                <w:color w:val="FF0000"/>
              </w:rPr>
              <w:t>After successfully finding the caches, students will show mastery of the terminology, or use the resources available to them, to find them term.  Students will be graded on their vocabulary practice worksheet.</w:t>
            </w:r>
          </w:p>
        </w:tc>
        <w:tc>
          <w:tcPr>
            <w:tcW w:w="2970" w:type="dxa"/>
            <w:tcMar>
              <w:top w:w="58" w:type="dxa"/>
              <w:left w:w="115" w:type="dxa"/>
              <w:bottom w:w="58" w:type="dxa"/>
              <w:right w:w="115" w:type="dxa"/>
            </w:tcMar>
          </w:tcPr>
          <w:p w:rsidR="00BD2790" w:rsidRDefault="00BD2790" w:rsidP="00DD7619">
            <w:pPr>
              <w:pStyle w:val="Heading1"/>
            </w:pPr>
            <w:r>
              <w:t>Additional Notes</w:t>
            </w:r>
          </w:p>
          <w:p w:rsidR="001662A2" w:rsidRPr="001662A2" w:rsidRDefault="001662A2" w:rsidP="00DD7619">
            <w:pPr>
              <w:rPr>
                <w:color w:val="FF0000"/>
              </w:rPr>
            </w:pPr>
            <w:r w:rsidRPr="001662A2">
              <w:rPr>
                <w:color w:val="FF0000"/>
              </w:rPr>
              <w:t>Caches will be hidden down the street at the Boys and Girls club, we will walk over… find the caches… and walk back to do our worksheet</w:t>
            </w:r>
          </w:p>
        </w:tc>
      </w:tr>
    </w:tbl>
    <w:p w:rsidR="00BD2790" w:rsidRDefault="00BD2790" w:rsidP="00BD2790"/>
    <w:p w:rsidR="00AE4C87" w:rsidRDefault="002C0EC8"/>
    <w:sectPr w:rsidR="00AE4C87" w:rsidSect="004F30CC">
      <w:pgSz w:w="15840" w:h="12240" w:orient="landscape"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90"/>
    <w:rsid w:val="00011F16"/>
    <w:rsid w:val="00092D46"/>
    <w:rsid w:val="001662A2"/>
    <w:rsid w:val="002C0EC8"/>
    <w:rsid w:val="00401271"/>
    <w:rsid w:val="00470FFA"/>
    <w:rsid w:val="007625D4"/>
    <w:rsid w:val="00862284"/>
    <w:rsid w:val="00AB3B44"/>
    <w:rsid w:val="00B24227"/>
    <w:rsid w:val="00BD2790"/>
    <w:rsid w:val="00DD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90"/>
    <w:pPr>
      <w:spacing w:line="240" w:lineRule="auto"/>
    </w:pPr>
    <w:rPr>
      <w:rFonts w:ascii="Arial" w:eastAsia="Times New Roman" w:hAnsi="Arial" w:cs="Times New Roman"/>
      <w:sz w:val="20"/>
      <w:szCs w:val="24"/>
    </w:rPr>
  </w:style>
  <w:style w:type="paragraph" w:styleId="Heading1">
    <w:name w:val="heading 1"/>
    <w:basedOn w:val="Normal"/>
    <w:next w:val="BodyText"/>
    <w:link w:val="Heading1Char"/>
    <w:qFormat/>
    <w:rsid w:val="00BD279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790"/>
    <w:rPr>
      <w:rFonts w:ascii="Arial" w:eastAsia="Times New Roman" w:hAnsi="Arial" w:cs="Times New Roman"/>
      <w:b/>
      <w:bCs/>
      <w:sz w:val="20"/>
      <w:szCs w:val="24"/>
    </w:rPr>
  </w:style>
  <w:style w:type="paragraph" w:styleId="Title">
    <w:name w:val="Title"/>
    <w:basedOn w:val="Normal"/>
    <w:link w:val="TitleChar"/>
    <w:qFormat/>
    <w:rsid w:val="00BD2790"/>
    <w:pPr>
      <w:jc w:val="center"/>
    </w:pPr>
    <w:rPr>
      <w:sz w:val="40"/>
    </w:rPr>
  </w:style>
  <w:style w:type="character" w:customStyle="1" w:styleId="TitleChar">
    <w:name w:val="Title Char"/>
    <w:basedOn w:val="DefaultParagraphFont"/>
    <w:link w:val="Title"/>
    <w:rsid w:val="00BD2790"/>
    <w:rPr>
      <w:rFonts w:ascii="Arial" w:eastAsia="Times New Roman" w:hAnsi="Arial" w:cs="Times New Roman"/>
      <w:sz w:val="40"/>
      <w:szCs w:val="24"/>
    </w:rPr>
  </w:style>
  <w:style w:type="paragraph" w:styleId="BodyText">
    <w:name w:val="Body Text"/>
    <w:basedOn w:val="Normal"/>
    <w:link w:val="BodyTextChar"/>
    <w:semiHidden/>
    <w:rsid w:val="00BD2790"/>
    <w:rPr>
      <w:sz w:val="16"/>
    </w:rPr>
  </w:style>
  <w:style w:type="character" w:customStyle="1" w:styleId="BodyTextChar">
    <w:name w:val="Body Text Char"/>
    <w:basedOn w:val="DefaultParagraphFont"/>
    <w:link w:val="BodyText"/>
    <w:semiHidden/>
    <w:rsid w:val="00BD2790"/>
    <w:rPr>
      <w:rFonts w:ascii="Arial" w:eastAsia="Times New Roman" w:hAnsi="Arial" w:cs="Times New Roman"/>
      <w:sz w:val="16"/>
      <w:szCs w:val="24"/>
    </w:rPr>
  </w:style>
  <w:style w:type="paragraph" w:styleId="ListParagraph">
    <w:name w:val="List Paragraph"/>
    <w:basedOn w:val="Normal"/>
    <w:uiPriority w:val="34"/>
    <w:qFormat/>
    <w:rsid w:val="00BD2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90"/>
    <w:pPr>
      <w:spacing w:line="240" w:lineRule="auto"/>
    </w:pPr>
    <w:rPr>
      <w:rFonts w:ascii="Arial" w:eastAsia="Times New Roman" w:hAnsi="Arial" w:cs="Times New Roman"/>
      <w:sz w:val="20"/>
      <w:szCs w:val="24"/>
    </w:rPr>
  </w:style>
  <w:style w:type="paragraph" w:styleId="Heading1">
    <w:name w:val="heading 1"/>
    <w:basedOn w:val="Normal"/>
    <w:next w:val="BodyText"/>
    <w:link w:val="Heading1Char"/>
    <w:qFormat/>
    <w:rsid w:val="00BD279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790"/>
    <w:rPr>
      <w:rFonts w:ascii="Arial" w:eastAsia="Times New Roman" w:hAnsi="Arial" w:cs="Times New Roman"/>
      <w:b/>
      <w:bCs/>
      <w:sz w:val="20"/>
      <w:szCs w:val="24"/>
    </w:rPr>
  </w:style>
  <w:style w:type="paragraph" w:styleId="Title">
    <w:name w:val="Title"/>
    <w:basedOn w:val="Normal"/>
    <w:link w:val="TitleChar"/>
    <w:qFormat/>
    <w:rsid w:val="00BD2790"/>
    <w:pPr>
      <w:jc w:val="center"/>
    </w:pPr>
    <w:rPr>
      <w:sz w:val="40"/>
    </w:rPr>
  </w:style>
  <w:style w:type="character" w:customStyle="1" w:styleId="TitleChar">
    <w:name w:val="Title Char"/>
    <w:basedOn w:val="DefaultParagraphFont"/>
    <w:link w:val="Title"/>
    <w:rsid w:val="00BD2790"/>
    <w:rPr>
      <w:rFonts w:ascii="Arial" w:eastAsia="Times New Roman" w:hAnsi="Arial" w:cs="Times New Roman"/>
      <w:sz w:val="40"/>
      <w:szCs w:val="24"/>
    </w:rPr>
  </w:style>
  <w:style w:type="paragraph" w:styleId="BodyText">
    <w:name w:val="Body Text"/>
    <w:basedOn w:val="Normal"/>
    <w:link w:val="BodyTextChar"/>
    <w:semiHidden/>
    <w:rsid w:val="00BD2790"/>
    <w:rPr>
      <w:sz w:val="16"/>
    </w:rPr>
  </w:style>
  <w:style w:type="character" w:customStyle="1" w:styleId="BodyTextChar">
    <w:name w:val="Body Text Char"/>
    <w:basedOn w:val="DefaultParagraphFont"/>
    <w:link w:val="BodyText"/>
    <w:semiHidden/>
    <w:rsid w:val="00BD2790"/>
    <w:rPr>
      <w:rFonts w:ascii="Arial" w:eastAsia="Times New Roman" w:hAnsi="Arial" w:cs="Times New Roman"/>
      <w:sz w:val="16"/>
      <w:szCs w:val="24"/>
    </w:rPr>
  </w:style>
  <w:style w:type="paragraph" w:styleId="ListParagraph">
    <w:name w:val="List Paragraph"/>
    <w:basedOn w:val="Normal"/>
    <w:uiPriority w:val="34"/>
    <w:qFormat/>
    <w:rsid w:val="00BD2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chorner</dc:creator>
  <cp:lastModifiedBy>rice</cp:lastModifiedBy>
  <cp:revision>2</cp:revision>
  <dcterms:created xsi:type="dcterms:W3CDTF">2013-04-23T13:40:00Z</dcterms:created>
  <dcterms:modified xsi:type="dcterms:W3CDTF">2013-04-23T13:40:00Z</dcterms:modified>
</cp:coreProperties>
</file>